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D61F2" w14:textId="77777777" w:rsidR="00293E9D" w:rsidRPr="004D373E" w:rsidRDefault="00293E9D" w:rsidP="004A55B4">
      <w:pPr>
        <w:spacing w:line="360" w:lineRule="auto"/>
        <w:jc w:val="left"/>
        <w:rPr>
          <w:rFonts w:ascii="Calibri" w:hAnsi="Calibri" w:cs="Times New Roman"/>
          <w:sz w:val="22"/>
          <w:szCs w:val="22"/>
        </w:rPr>
      </w:pPr>
      <w:bookmarkStart w:id="0" w:name="_GoBack"/>
      <w:bookmarkEnd w:id="0"/>
      <w:r w:rsidRPr="004D373E">
        <w:rPr>
          <w:rFonts w:ascii="Calibri" w:hAnsi="Calibri" w:cs="Times New Roman"/>
          <w:sz w:val="22"/>
          <w:szCs w:val="22"/>
        </w:rPr>
        <w:t>Supplemental Table 3. Perioperative use of NSAIDs</w:t>
      </w:r>
    </w:p>
    <w:tbl>
      <w:tblPr>
        <w:tblW w:w="821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440"/>
        <w:gridCol w:w="1590"/>
        <w:gridCol w:w="1650"/>
        <w:gridCol w:w="911"/>
      </w:tblGrid>
      <w:tr w:rsidR="00293E9D" w:rsidRPr="004D373E" w14:paraId="16F03B95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24635DE7" w14:textId="77777777" w:rsidR="00293E9D" w:rsidRPr="004D373E" w:rsidRDefault="00293E9D" w:rsidP="004D373E">
            <w:pPr>
              <w:pStyle w:val="NoSpacing1"/>
              <w:snapToGrid/>
              <w:jc w:val="both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Variable</w:t>
            </w:r>
          </w:p>
        </w:tc>
        <w:tc>
          <w:tcPr>
            <w:tcW w:w="1440" w:type="dxa"/>
            <w:vAlign w:val="center"/>
          </w:tcPr>
          <w:p w14:paraId="13162A5B" w14:textId="77777777" w:rsidR="00293E9D" w:rsidRPr="004D373E" w:rsidRDefault="00293E9D" w:rsidP="004D373E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4D373E">
              <w:rPr>
                <w:rFonts w:ascii="Calibri" w:hAnsi="Calibri" w:cs="Times New Roman"/>
                <w:sz w:val="22"/>
                <w:szCs w:val="22"/>
              </w:rPr>
              <w:t>All patients (n=215)</w:t>
            </w:r>
          </w:p>
        </w:tc>
        <w:tc>
          <w:tcPr>
            <w:tcW w:w="1590" w:type="dxa"/>
            <w:vAlign w:val="center"/>
          </w:tcPr>
          <w:p w14:paraId="5463AAD1" w14:textId="77777777" w:rsidR="00293E9D" w:rsidRPr="004D373E" w:rsidRDefault="00293E9D" w:rsidP="004D373E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4D373E">
              <w:rPr>
                <w:rFonts w:ascii="Calibri" w:hAnsi="Calibri" w:cs="Times New Roman"/>
                <w:sz w:val="22"/>
                <w:szCs w:val="22"/>
              </w:rPr>
              <w:t>Without glucocorticoids</w:t>
            </w:r>
          </w:p>
          <w:p w14:paraId="0E9CF1E4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(n=103)</w:t>
            </w:r>
          </w:p>
        </w:tc>
        <w:tc>
          <w:tcPr>
            <w:tcW w:w="1650" w:type="dxa"/>
            <w:vAlign w:val="center"/>
          </w:tcPr>
          <w:p w14:paraId="35F862C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With glucocorticoids (n=112)</w:t>
            </w:r>
          </w:p>
        </w:tc>
        <w:tc>
          <w:tcPr>
            <w:tcW w:w="911" w:type="dxa"/>
            <w:vAlign w:val="center"/>
          </w:tcPr>
          <w:p w14:paraId="14F1AFC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P value</w:t>
            </w:r>
          </w:p>
        </w:tc>
      </w:tr>
      <w:tr w:rsidR="00293E9D" w:rsidRPr="004D373E" w14:paraId="608FBB86" w14:textId="77777777" w:rsidTr="004A55B4">
        <w:trPr>
          <w:trHeight w:val="340"/>
        </w:trPr>
        <w:tc>
          <w:tcPr>
            <w:tcW w:w="2628" w:type="dxa"/>
          </w:tcPr>
          <w:p w14:paraId="192A8D03" w14:textId="77777777" w:rsidR="00293E9D" w:rsidRPr="004D373E" w:rsidRDefault="00571026" w:rsidP="00841EDA">
            <w:pPr>
              <w:pStyle w:val="NoSpacing1"/>
              <w:snapToGrid/>
              <w:jc w:val="both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 xml:space="preserve">Intraoperative flurbiprofen </w:t>
            </w:r>
            <w:r w:rsidR="00293E9D" w:rsidRPr="004D373E">
              <w:rPr>
                <w:rFonts w:ascii="Calibri" w:hAnsi="Calibri"/>
              </w:rPr>
              <w:t>axetil</w:t>
            </w:r>
          </w:p>
        </w:tc>
        <w:tc>
          <w:tcPr>
            <w:tcW w:w="1440" w:type="dxa"/>
            <w:vAlign w:val="center"/>
          </w:tcPr>
          <w:p w14:paraId="1070635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99 (46.0%)</w:t>
            </w:r>
          </w:p>
        </w:tc>
        <w:tc>
          <w:tcPr>
            <w:tcW w:w="1590" w:type="dxa"/>
            <w:vAlign w:val="center"/>
          </w:tcPr>
          <w:p w14:paraId="429EC8E2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51 (49.5%)</w:t>
            </w:r>
          </w:p>
        </w:tc>
        <w:tc>
          <w:tcPr>
            <w:tcW w:w="1650" w:type="dxa"/>
            <w:vAlign w:val="center"/>
          </w:tcPr>
          <w:p w14:paraId="608D514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48 (42.9%)</w:t>
            </w:r>
          </w:p>
        </w:tc>
        <w:tc>
          <w:tcPr>
            <w:tcW w:w="911" w:type="dxa"/>
            <w:vAlign w:val="center"/>
          </w:tcPr>
          <w:p w14:paraId="28730B92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0.341</w:t>
            </w:r>
          </w:p>
        </w:tc>
      </w:tr>
      <w:tr w:rsidR="00293E9D" w:rsidRPr="004D373E" w14:paraId="5290829E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0519FB92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 xml:space="preserve">50 mg   </w:t>
            </w:r>
          </w:p>
        </w:tc>
        <w:tc>
          <w:tcPr>
            <w:tcW w:w="1440" w:type="dxa"/>
            <w:vAlign w:val="center"/>
          </w:tcPr>
          <w:p w14:paraId="50D4B52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1590" w:type="dxa"/>
            <w:vAlign w:val="center"/>
          </w:tcPr>
          <w:p w14:paraId="0B358976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1650" w:type="dxa"/>
            <w:vAlign w:val="center"/>
          </w:tcPr>
          <w:p w14:paraId="1FE71882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911" w:type="dxa"/>
            <w:vAlign w:val="center"/>
          </w:tcPr>
          <w:p w14:paraId="7FA4063E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4DC149C7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0CEFB840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100 mg</w:t>
            </w:r>
          </w:p>
        </w:tc>
        <w:tc>
          <w:tcPr>
            <w:tcW w:w="1440" w:type="dxa"/>
            <w:vAlign w:val="center"/>
          </w:tcPr>
          <w:p w14:paraId="637C225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94</w:t>
            </w:r>
          </w:p>
        </w:tc>
        <w:tc>
          <w:tcPr>
            <w:tcW w:w="1590" w:type="dxa"/>
            <w:vAlign w:val="center"/>
          </w:tcPr>
          <w:p w14:paraId="2C3EABE4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49</w:t>
            </w:r>
          </w:p>
        </w:tc>
        <w:tc>
          <w:tcPr>
            <w:tcW w:w="1650" w:type="dxa"/>
            <w:vAlign w:val="center"/>
          </w:tcPr>
          <w:p w14:paraId="7B551175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45</w:t>
            </w:r>
          </w:p>
        </w:tc>
        <w:tc>
          <w:tcPr>
            <w:tcW w:w="911" w:type="dxa"/>
            <w:vAlign w:val="center"/>
          </w:tcPr>
          <w:p w14:paraId="098BA83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4B081A40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0B38448B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200 mg</w:t>
            </w:r>
          </w:p>
        </w:tc>
        <w:tc>
          <w:tcPr>
            <w:tcW w:w="1440" w:type="dxa"/>
            <w:vAlign w:val="center"/>
          </w:tcPr>
          <w:p w14:paraId="08AA3588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1590" w:type="dxa"/>
            <w:vAlign w:val="center"/>
          </w:tcPr>
          <w:p w14:paraId="04D45C4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1650" w:type="dxa"/>
            <w:vAlign w:val="center"/>
          </w:tcPr>
          <w:p w14:paraId="61E3E5C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911" w:type="dxa"/>
            <w:vAlign w:val="center"/>
          </w:tcPr>
          <w:p w14:paraId="7EF2FE06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39619B58" w14:textId="77777777" w:rsidTr="004A55B4">
        <w:trPr>
          <w:trHeight w:val="340"/>
        </w:trPr>
        <w:tc>
          <w:tcPr>
            <w:tcW w:w="2628" w:type="dxa"/>
          </w:tcPr>
          <w:p w14:paraId="10E3DCA6" w14:textId="77777777" w:rsidR="00293E9D" w:rsidRPr="004D373E" w:rsidRDefault="00571026" w:rsidP="00841EDA">
            <w:pPr>
              <w:pStyle w:val="NoSpacing1"/>
              <w:snapToGrid/>
              <w:jc w:val="both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 xml:space="preserve">Postoperative flurbiprofen </w:t>
            </w:r>
            <w:r w:rsidR="00293E9D" w:rsidRPr="004D373E">
              <w:rPr>
                <w:rFonts w:ascii="Calibri" w:hAnsi="Calibri"/>
              </w:rPr>
              <w:t>axetil</w:t>
            </w:r>
          </w:p>
        </w:tc>
        <w:tc>
          <w:tcPr>
            <w:tcW w:w="1440" w:type="dxa"/>
            <w:vAlign w:val="center"/>
          </w:tcPr>
          <w:p w14:paraId="1094862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102 (47.4%)</w:t>
            </w:r>
          </w:p>
        </w:tc>
        <w:tc>
          <w:tcPr>
            <w:tcW w:w="1590" w:type="dxa"/>
            <w:vAlign w:val="center"/>
          </w:tcPr>
          <w:p w14:paraId="2CEB4256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51 (49.5%)</w:t>
            </w:r>
          </w:p>
        </w:tc>
        <w:tc>
          <w:tcPr>
            <w:tcW w:w="1650" w:type="dxa"/>
            <w:vAlign w:val="center"/>
          </w:tcPr>
          <w:p w14:paraId="585CB19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51 (45.5%)</w:t>
            </w:r>
          </w:p>
        </w:tc>
        <w:tc>
          <w:tcPr>
            <w:tcW w:w="911" w:type="dxa"/>
            <w:vAlign w:val="center"/>
          </w:tcPr>
          <w:p w14:paraId="77169BB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0.586</w:t>
            </w:r>
          </w:p>
        </w:tc>
      </w:tr>
      <w:tr w:rsidR="00293E9D" w:rsidRPr="004D373E" w14:paraId="003BB9CD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70915835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100 mg</w:t>
            </w:r>
          </w:p>
        </w:tc>
        <w:tc>
          <w:tcPr>
            <w:tcW w:w="1440" w:type="dxa"/>
            <w:vAlign w:val="center"/>
          </w:tcPr>
          <w:p w14:paraId="12F1CFE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</w:t>
            </w:r>
          </w:p>
        </w:tc>
        <w:tc>
          <w:tcPr>
            <w:tcW w:w="1590" w:type="dxa"/>
            <w:vAlign w:val="center"/>
          </w:tcPr>
          <w:p w14:paraId="61C1CB6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1650" w:type="dxa"/>
            <w:vAlign w:val="center"/>
          </w:tcPr>
          <w:p w14:paraId="62A5EDC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911" w:type="dxa"/>
            <w:vAlign w:val="center"/>
          </w:tcPr>
          <w:p w14:paraId="129F318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073ADD94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0E5391F7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150 mg</w:t>
            </w:r>
          </w:p>
        </w:tc>
        <w:tc>
          <w:tcPr>
            <w:tcW w:w="1440" w:type="dxa"/>
            <w:vAlign w:val="center"/>
          </w:tcPr>
          <w:p w14:paraId="371375D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1590" w:type="dxa"/>
            <w:vAlign w:val="center"/>
          </w:tcPr>
          <w:p w14:paraId="009BA6E8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1650" w:type="dxa"/>
            <w:vAlign w:val="center"/>
          </w:tcPr>
          <w:p w14:paraId="6E5EBF0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</w:t>
            </w:r>
          </w:p>
        </w:tc>
        <w:tc>
          <w:tcPr>
            <w:tcW w:w="911" w:type="dxa"/>
            <w:vAlign w:val="center"/>
          </w:tcPr>
          <w:p w14:paraId="43D2C0CA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0A11F19F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78532239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200 mg</w:t>
            </w:r>
          </w:p>
        </w:tc>
        <w:tc>
          <w:tcPr>
            <w:tcW w:w="1440" w:type="dxa"/>
            <w:vAlign w:val="center"/>
          </w:tcPr>
          <w:p w14:paraId="2854CC0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40</w:t>
            </w:r>
          </w:p>
        </w:tc>
        <w:tc>
          <w:tcPr>
            <w:tcW w:w="1590" w:type="dxa"/>
            <w:vAlign w:val="center"/>
          </w:tcPr>
          <w:p w14:paraId="58243B54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23</w:t>
            </w:r>
          </w:p>
        </w:tc>
        <w:tc>
          <w:tcPr>
            <w:tcW w:w="1650" w:type="dxa"/>
            <w:vAlign w:val="center"/>
          </w:tcPr>
          <w:p w14:paraId="0104D8F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17</w:t>
            </w:r>
          </w:p>
        </w:tc>
        <w:tc>
          <w:tcPr>
            <w:tcW w:w="911" w:type="dxa"/>
            <w:vAlign w:val="center"/>
          </w:tcPr>
          <w:p w14:paraId="320522B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6E51FE14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6D6F1AA4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250 mg</w:t>
            </w:r>
          </w:p>
        </w:tc>
        <w:tc>
          <w:tcPr>
            <w:tcW w:w="1440" w:type="dxa"/>
            <w:vAlign w:val="center"/>
          </w:tcPr>
          <w:p w14:paraId="5A5DFEC6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1590" w:type="dxa"/>
            <w:vAlign w:val="center"/>
          </w:tcPr>
          <w:p w14:paraId="6303D775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</w:t>
            </w:r>
          </w:p>
        </w:tc>
        <w:tc>
          <w:tcPr>
            <w:tcW w:w="1650" w:type="dxa"/>
            <w:vAlign w:val="center"/>
          </w:tcPr>
          <w:p w14:paraId="256D821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911" w:type="dxa"/>
            <w:vAlign w:val="center"/>
          </w:tcPr>
          <w:p w14:paraId="7523827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774B112E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5A8D2B18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300 mg</w:t>
            </w:r>
          </w:p>
        </w:tc>
        <w:tc>
          <w:tcPr>
            <w:tcW w:w="1440" w:type="dxa"/>
            <w:vAlign w:val="center"/>
          </w:tcPr>
          <w:p w14:paraId="74BB0BD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45</w:t>
            </w:r>
          </w:p>
        </w:tc>
        <w:tc>
          <w:tcPr>
            <w:tcW w:w="1590" w:type="dxa"/>
            <w:vAlign w:val="center"/>
          </w:tcPr>
          <w:p w14:paraId="46C2F67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20</w:t>
            </w:r>
          </w:p>
        </w:tc>
        <w:tc>
          <w:tcPr>
            <w:tcW w:w="1650" w:type="dxa"/>
            <w:vAlign w:val="center"/>
          </w:tcPr>
          <w:p w14:paraId="4075799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25</w:t>
            </w:r>
          </w:p>
        </w:tc>
        <w:tc>
          <w:tcPr>
            <w:tcW w:w="911" w:type="dxa"/>
            <w:vAlign w:val="center"/>
          </w:tcPr>
          <w:p w14:paraId="75C73BB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5172B4E4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15DEFDFC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350 mg</w:t>
            </w:r>
          </w:p>
        </w:tc>
        <w:tc>
          <w:tcPr>
            <w:tcW w:w="1440" w:type="dxa"/>
            <w:vAlign w:val="center"/>
          </w:tcPr>
          <w:p w14:paraId="26C27228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1590" w:type="dxa"/>
            <w:vAlign w:val="center"/>
          </w:tcPr>
          <w:p w14:paraId="0CA2388F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</w:t>
            </w:r>
          </w:p>
        </w:tc>
        <w:tc>
          <w:tcPr>
            <w:tcW w:w="1650" w:type="dxa"/>
            <w:vAlign w:val="center"/>
          </w:tcPr>
          <w:p w14:paraId="46607920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911" w:type="dxa"/>
            <w:vAlign w:val="center"/>
          </w:tcPr>
          <w:p w14:paraId="7E139CC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6802C5C3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389281FE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400 mg</w:t>
            </w:r>
          </w:p>
        </w:tc>
        <w:tc>
          <w:tcPr>
            <w:tcW w:w="1440" w:type="dxa"/>
            <w:vAlign w:val="center"/>
          </w:tcPr>
          <w:p w14:paraId="6791CE14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</w:t>
            </w:r>
          </w:p>
        </w:tc>
        <w:tc>
          <w:tcPr>
            <w:tcW w:w="1590" w:type="dxa"/>
            <w:vAlign w:val="center"/>
          </w:tcPr>
          <w:p w14:paraId="5F9BC92E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1650" w:type="dxa"/>
            <w:vAlign w:val="center"/>
          </w:tcPr>
          <w:p w14:paraId="7681C37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3</w:t>
            </w:r>
          </w:p>
        </w:tc>
        <w:tc>
          <w:tcPr>
            <w:tcW w:w="911" w:type="dxa"/>
            <w:vAlign w:val="center"/>
          </w:tcPr>
          <w:p w14:paraId="6B34EA06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1B0F3F42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4D69C519" w14:textId="77777777" w:rsidR="00293E9D" w:rsidRPr="004D373E" w:rsidRDefault="00293E9D" w:rsidP="004D373E">
            <w:pPr>
              <w:pStyle w:val="NoSpacing1"/>
              <w:snapToGrid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 xml:space="preserve">Intraoperative </w:t>
            </w:r>
            <w:r w:rsidRPr="004D373E">
              <w:rPr>
                <w:rFonts w:ascii="Calibri" w:hAnsi="Calibri"/>
                <w:bCs/>
                <w:kern w:val="2"/>
              </w:rPr>
              <w:t xml:space="preserve">parecoxib </w:t>
            </w:r>
          </w:p>
        </w:tc>
        <w:tc>
          <w:tcPr>
            <w:tcW w:w="1440" w:type="dxa"/>
            <w:vAlign w:val="center"/>
          </w:tcPr>
          <w:p w14:paraId="6DBB223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20 (9.3%)</w:t>
            </w:r>
          </w:p>
        </w:tc>
        <w:tc>
          <w:tcPr>
            <w:tcW w:w="1590" w:type="dxa"/>
            <w:vAlign w:val="center"/>
          </w:tcPr>
          <w:p w14:paraId="3F1C01BA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7 (6.8%)</w:t>
            </w:r>
          </w:p>
        </w:tc>
        <w:tc>
          <w:tcPr>
            <w:tcW w:w="1650" w:type="dxa"/>
            <w:vAlign w:val="center"/>
          </w:tcPr>
          <w:p w14:paraId="307B1882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13 (11.6%)</w:t>
            </w:r>
          </w:p>
        </w:tc>
        <w:tc>
          <w:tcPr>
            <w:tcW w:w="911" w:type="dxa"/>
            <w:vAlign w:val="center"/>
          </w:tcPr>
          <w:p w14:paraId="7D680831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0.249</w:t>
            </w:r>
          </w:p>
        </w:tc>
      </w:tr>
      <w:tr w:rsidR="00293E9D" w:rsidRPr="004D373E" w14:paraId="3A6CD9B5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32FA7968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20 mg</w:t>
            </w:r>
          </w:p>
        </w:tc>
        <w:tc>
          <w:tcPr>
            <w:tcW w:w="1440" w:type="dxa"/>
            <w:vAlign w:val="center"/>
          </w:tcPr>
          <w:p w14:paraId="4E10479F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1590" w:type="dxa"/>
            <w:vAlign w:val="center"/>
          </w:tcPr>
          <w:p w14:paraId="61988B7B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1650" w:type="dxa"/>
            <w:vAlign w:val="center"/>
          </w:tcPr>
          <w:p w14:paraId="342BDD0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1</w:t>
            </w:r>
          </w:p>
        </w:tc>
        <w:tc>
          <w:tcPr>
            <w:tcW w:w="911" w:type="dxa"/>
            <w:vAlign w:val="center"/>
          </w:tcPr>
          <w:p w14:paraId="11CB2C3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1C409015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7CE8BB68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40 mg</w:t>
            </w:r>
          </w:p>
        </w:tc>
        <w:tc>
          <w:tcPr>
            <w:tcW w:w="1440" w:type="dxa"/>
            <w:vAlign w:val="center"/>
          </w:tcPr>
          <w:p w14:paraId="076A9000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9</w:t>
            </w:r>
          </w:p>
        </w:tc>
        <w:tc>
          <w:tcPr>
            <w:tcW w:w="1590" w:type="dxa"/>
            <w:vAlign w:val="center"/>
          </w:tcPr>
          <w:p w14:paraId="1E23165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</w:t>
            </w:r>
          </w:p>
        </w:tc>
        <w:tc>
          <w:tcPr>
            <w:tcW w:w="1650" w:type="dxa"/>
            <w:vAlign w:val="center"/>
          </w:tcPr>
          <w:p w14:paraId="431D906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</w:t>
            </w:r>
          </w:p>
        </w:tc>
        <w:tc>
          <w:tcPr>
            <w:tcW w:w="911" w:type="dxa"/>
            <w:vAlign w:val="center"/>
          </w:tcPr>
          <w:p w14:paraId="6039961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6DFB5F74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73E43C49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60 mg</w:t>
            </w:r>
          </w:p>
        </w:tc>
        <w:tc>
          <w:tcPr>
            <w:tcW w:w="1440" w:type="dxa"/>
            <w:vAlign w:val="center"/>
          </w:tcPr>
          <w:p w14:paraId="15E9A160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4</w:t>
            </w:r>
          </w:p>
        </w:tc>
        <w:tc>
          <w:tcPr>
            <w:tcW w:w="1590" w:type="dxa"/>
            <w:vAlign w:val="center"/>
          </w:tcPr>
          <w:p w14:paraId="3EE0A63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1650" w:type="dxa"/>
            <w:vAlign w:val="center"/>
          </w:tcPr>
          <w:p w14:paraId="4B5614C7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2</w:t>
            </w:r>
          </w:p>
        </w:tc>
        <w:tc>
          <w:tcPr>
            <w:tcW w:w="911" w:type="dxa"/>
            <w:vAlign w:val="center"/>
          </w:tcPr>
          <w:p w14:paraId="4067ECFC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  <w:tr w:rsidR="00293E9D" w:rsidRPr="004D373E" w14:paraId="6E9FD6CB" w14:textId="77777777" w:rsidTr="004A55B4">
        <w:trPr>
          <w:trHeight w:val="340"/>
        </w:trPr>
        <w:tc>
          <w:tcPr>
            <w:tcW w:w="2628" w:type="dxa"/>
            <w:vAlign w:val="center"/>
          </w:tcPr>
          <w:p w14:paraId="5F89D229" w14:textId="77777777" w:rsidR="00293E9D" w:rsidRPr="004D373E" w:rsidRDefault="00293E9D" w:rsidP="004D373E">
            <w:pPr>
              <w:pStyle w:val="NoSpacing1"/>
              <w:snapToGrid/>
              <w:ind w:firstLineChars="100" w:firstLine="220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80 mg</w:t>
            </w:r>
          </w:p>
        </w:tc>
        <w:tc>
          <w:tcPr>
            <w:tcW w:w="1440" w:type="dxa"/>
            <w:vAlign w:val="center"/>
          </w:tcPr>
          <w:p w14:paraId="455053D3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</w:t>
            </w:r>
          </w:p>
        </w:tc>
        <w:tc>
          <w:tcPr>
            <w:tcW w:w="1590" w:type="dxa"/>
            <w:vAlign w:val="center"/>
          </w:tcPr>
          <w:p w14:paraId="35AC92D4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0</w:t>
            </w:r>
          </w:p>
        </w:tc>
        <w:tc>
          <w:tcPr>
            <w:tcW w:w="1650" w:type="dxa"/>
            <w:vAlign w:val="center"/>
          </w:tcPr>
          <w:p w14:paraId="3889AC4D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5</w:t>
            </w:r>
          </w:p>
        </w:tc>
        <w:tc>
          <w:tcPr>
            <w:tcW w:w="911" w:type="dxa"/>
            <w:vAlign w:val="center"/>
          </w:tcPr>
          <w:p w14:paraId="14A3E549" w14:textId="77777777" w:rsidR="00293E9D" w:rsidRPr="004D373E" w:rsidRDefault="00293E9D" w:rsidP="004D373E">
            <w:pPr>
              <w:pStyle w:val="NoSpacing1"/>
              <w:snapToGrid/>
              <w:jc w:val="center"/>
              <w:rPr>
                <w:rFonts w:ascii="Calibri" w:hAnsi="Calibri"/>
              </w:rPr>
            </w:pPr>
            <w:r w:rsidRPr="004D373E">
              <w:rPr>
                <w:rFonts w:ascii="Calibri" w:hAnsi="Calibri"/>
              </w:rPr>
              <w:t>--</w:t>
            </w:r>
          </w:p>
        </w:tc>
      </w:tr>
    </w:tbl>
    <w:p w14:paraId="05000935" w14:textId="77777777" w:rsidR="00293E9D" w:rsidRPr="004D373E" w:rsidRDefault="00293E9D" w:rsidP="004A55B4">
      <w:pPr>
        <w:pStyle w:val="NoSpacing1"/>
        <w:snapToGrid/>
        <w:spacing w:line="360" w:lineRule="auto"/>
        <w:rPr>
          <w:rFonts w:ascii="Calibri" w:hAnsi="Calibri"/>
        </w:rPr>
      </w:pPr>
      <w:r w:rsidRPr="004D373E">
        <w:rPr>
          <w:rFonts w:ascii="Calibri" w:hAnsi="Calibri"/>
        </w:rPr>
        <w:t>Results are presented as number (%).</w:t>
      </w:r>
    </w:p>
    <w:p w14:paraId="6D6DF99D" w14:textId="77777777" w:rsidR="00293E9D" w:rsidRPr="004D373E" w:rsidRDefault="00293E9D" w:rsidP="004A55B4">
      <w:pPr>
        <w:pStyle w:val="NoSpacing1"/>
        <w:snapToGrid/>
        <w:spacing w:line="360" w:lineRule="auto"/>
        <w:rPr>
          <w:rFonts w:ascii="Calibri" w:hAnsi="Calibri"/>
          <w:lang w:val="it-IT"/>
        </w:rPr>
      </w:pPr>
      <w:r w:rsidRPr="004D373E">
        <w:rPr>
          <w:rFonts w:ascii="Calibri" w:hAnsi="Calibri"/>
          <w:lang w:val="it-IT"/>
        </w:rPr>
        <w:t xml:space="preserve">NSAIDs, non-steroid anti-inflammatory drugs. </w:t>
      </w:r>
    </w:p>
    <w:p w14:paraId="2F0DE131" w14:textId="77777777" w:rsidR="00293E9D" w:rsidRPr="004D373E" w:rsidRDefault="00293E9D" w:rsidP="004A55B4">
      <w:pPr>
        <w:spacing w:line="360" w:lineRule="auto"/>
        <w:rPr>
          <w:rFonts w:ascii="Calibri" w:hAnsi="Calibri" w:cs="Times New Roman"/>
          <w:sz w:val="22"/>
          <w:szCs w:val="22"/>
          <w:lang w:val="it-IT"/>
        </w:rPr>
      </w:pPr>
    </w:p>
    <w:sectPr w:rsidR="00293E9D" w:rsidRPr="004D373E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2CA2F" w14:textId="77777777" w:rsidR="002078CB" w:rsidRDefault="002078CB">
      <w:r>
        <w:separator/>
      </w:r>
    </w:p>
  </w:endnote>
  <w:endnote w:type="continuationSeparator" w:id="0">
    <w:p w14:paraId="0AA48072" w14:textId="77777777" w:rsidR="002078CB" w:rsidRDefault="0020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85B55" w14:textId="77777777" w:rsidR="002078CB" w:rsidRDefault="002078CB">
      <w:r>
        <w:separator/>
      </w:r>
    </w:p>
  </w:footnote>
  <w:footnote w:type="continuationSeparator" w:id="0">
    <w:p w14:paraId="716FA144" w14:textId="77777777" w:rsidR="002078CB" w:rsidRDefault="002078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426D56" w14:textId="77777777" w:rsidR="004D373E" w:rsidRDefault="004D373E" w:rsidP="00293E9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A697CBE" w14:textId="77777777" w:rsidR="004D373E" w:rsidRDefault="004D373E" w:rsidP="00977CA7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1F3D0" w14:textId="77777777" w:rsidR="004D373E" w:rsidRDefault="004D373E" w:rsidP="00293E9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41EDA">
      <w:rPr>
        <w:rStyle w:val="a4"/>
        <w:noProof/>
      </w:rPr>
      <w:t>1</w:t>
    </w:r>
    <w:r>
      <w:rPr>
        <w:rStyle w:val="a4"/>
      </w:rPr>
      <w:fldChar w:fldCharType="end"/>
    </w:r>
  </w:p>
  <w:p w14:paraId="18E36488" w14:textId="77777777" w:rsidR="004D373E" w:rsidRDefault="004D373E" w:rsidP="00977CA7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26"/>
    <w:rsid w:val="001E4D9D"/>
    <w:rsid w:val="002078CB"/>
    <w:rsid w:val="00293E9D"/>
    <w:rsid w:val="00480653"/>
    <w:rsid w:val="004A55B4"/>
    <w:rsid w:val="004D373E"/>
    <w:rsid w:val="004E33AF"/>
    <w:rsid w:val="00571026"/>
    <w:rsid w:val="00643C32"/>
    <w:rsid w:val="00841EDA"/>
    <w:rsid w:val="00977CA7"/>
    <w:rsid w:val="00E83DE9"/>
    <w:rsid w:val="126B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9E54CF"/>
  <w15:chartTrackingRefBased/>
  <w15:docId w15:val="{EA786441-2DC8-4BB9-96FB-5F39176EF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1"/>
      <w:szCs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basedOn w:val="a"/>
    <w:uiPriority w:val="99"/>
    <w:qFormat/>
    <w:pPr>
      <w:widowControl/>
      <w:adjustRightInd w:val="0"/>
      <w:snapToGrid w:val="0"/>
      <w:jc w:val="left"/>
    </w:pPr>
    <w:rPr>
      <w:rFonts w:ascii="Tahoma" w:hAnsi="Tahoma" w:cs="Times New Roman"/>
      <w:kern w:val="0"/>
      <w:sz w:val="22"/>
      <w:szCs w:val="22"/>
    </w:rPr>
  </w:style>
  <w:style w:type="paragraph" w:styleId="a3">
    <w:name w:val="header"/>
    <w:basedOn w:val="a"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977CA7"/>
  </w:style>
  <w:style w:type="paragraph" w:styleId="a5">
    <w:name w:val="footer"/>
    <w:basedOn w:val="a"/>
    <w:link w:val="a6"/>
    <w:rsid w:val="00480653"/>
    <w:pPr>
      <w:tabs>
        <w:tab w:val="center" w:pos="4153"/>
        <w:tab w:val="right" w:pos="8306"/>
      </w:tabs>
      <w:snapToGrid w:val="0"/>
      <w:jc w:val="left"/>
    </w:pPr>
    <w:rPr>
      <w:rFonts w:cs="Angsana New"/>
      <w:sz w:val="18"/>
      <w:szCs w:val="22"/>
    </w:rPr>
  </w:style>
  <w:style w:type="character" w:customStyle="1" w:styleId="a6">
    <w:name w:val="页脚 字符"/>
    <w:basedOn w:val="a0"/>
    <w:link w:val="a5"/>
    <w:rsid w:val="00480653"/>
    <w:rPr>
      <w:rFonts w:ascii="宋体" w:hAnsi="宋体" w:cs="Angsana New"/>
      <w:kern w:val="2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KT0100</dc:creator>
  <cp:keywords/>
  <cp:lastModifiedBy>Dong-Xin Wang</cp:lastModifiedBy>
  <cp:revision>2</cp:revision>
  <dcterms:created xsi:type="dcterms:W3CDTF">2020-03-28T12:38:00Z</dcterms:created>
  <dcterms:modified xsi:type="dcterms:W3CDTF">2020-03-28T12:38:00Z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